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6DA" w:rsidRPr="00BA16DA" w:rsidRDefault="00BA16DA" w:rsidP="00BA16DA">
      <w:pPr>
        <w:shd w:val="clear" w:color="auto" w:fill="FFFFFF"/>
        <w:spacing w:line="336" w:lineRule="atLeast"/>
        <w:rPr>
          <w:rFonts w:eastAsia="Times New Roman" w:cs="Arial"/>
          <w:color w:val="333333"/>
          <w:sz w:val="15"/>
          <w:szCs w:val="15"/>
          <w:lang w:eastAsia="de-DE"/>
        </w:rPr>
      </w:pPr>
      <w:bookmarkStart w:id="0" w:name="_GoBack"/>
      <w:bookmarkEnd w:id="0"/>
      <w:r w:rsidRPr="00BA16DA">
        <w:rPr>
          <w:rFonts w:eastAsia="Times New Roman" w:cs="Arial"/>
          <w:color w:val="333333"/>
          <w:sz w:val="15"/>
          <w:szCs w:val="15"/>
          <w:lang w:eastAsia="de-DE"/>
        </w:rPr>
        <w:t xml:space="preserve">Versicherungsanstalt öffentlich Bediensteter (BVA) </w:t>
      </w:r>
    </w:p>
    <w:p w:rsidR="00BA16DA" w:rsidRPr="00BA16DA" w:rsidRDefault="00BA16DA" w:rsidP="00BA16DA">
      <w:pPr>
        <w:shd w:val="clear" w:color="auto" w:fill="FFFFFF"/>
        <w:rPr>
          <w:rFonts w:eastAsia="Times New Roman" w:cs="Arial"/>
          <w:b/>
          <w:bCs/>
          <w:color w:val="64B721"/>
          <w:szCs w:val="24"/>
          <w:lang w:eastAsia="de-DE"/>
        </w:rPr>
      </w:pPr>
      <w:r w:rsidRPr="00BA16DA">
        <w:rPr>
          <w:rFonts w:eastAsia="Times New Roman" w:cs="Arial"/>
          <w:b/>
          <w:bCs/>
          <w:color w:val="64B721"/>
          <w:szCs w:val="24"/>
          <w:lang w:eastAsia="de-DE"/>
        </w:rPr>
        <w:t xml:space="preserve">Gesunde Zähne für ein gesundes Leben </w:t>
      </w:r>
    </w:p>
    <w:p w:rsidR="00BA16DA" w:rsidRPr="00BA16DA" w:rsidRDefault="00BA16DA" w:rsidP="00F03706">
      <w:pPr>
        <w:shd w:val="clear" w:color="auto" w:fill="FFFFFF"/>
        <w:spacing w:after="240" w:line="384" w:lineRule="atLeast"/>
        <w:rPr>
          <w:rFonts w:eastAsia="Times New Roman" w:cs="Arial"/>
          <w:color w:val="333333"/>
          <w:sz w:val="18"/>
          <w:szCs w:val="18"/>
          <w:lang w:eastAsia="de-DE"/>
        </w:rPr>
      </w:pPr>
      <w:r w:rsidRPr="00BA16DA">
        <w:rPr>
          <w:rFonts w:eastAsia="Times New Roman" w:cs="Arial"/>
          <w:color w:val="333333"/>
          <w:sz w:val="18"/>
          <w:szCs w:val="18"/>
          <w:lang w:eastAsia="de-DE"/>
        </w:rPr>
        <w:t>Erhöhung des Zuschusses für festsitzende Zahnspangen - eine Initiative der BVA in Sachen Zahngesundheit</w:t>
      </w:r>
      <w:r w:rsidRPr="00BA16DA">
        <w:rPr>
          <w:rFonts w:eastAsia="Times New Roman" w:cs="Arial"/>
          <w:color w:val="333333"/>
          <w:sz w:val="18"/>
          <w:szCs w:val="18"/>
          <w:lang w:eastAsia="de-DE"/>
        </w:rPr>
        <w:br/>
        <w:t xml:space="preserve">Gerade in der heutigen Zeit kommt der Vorsorgemedizin eine immer größer werdende Bedeutung zu. Im gesamten Bereich der Zahnheilkunde geht daher der Trend in Richtung Prävention: </w:t>
      </w:r>
    </w:p>
    <w:p w:rsidR="00BA16DA" w:rsidRPr="00BA16DA" w:rsidRDefault="00BA16DA" w:rsidP="00BA16DA">
      <w:pPr>
        <w:shd w:val="clear" w:color="auto" w:fill="FFFFFF"/>
        <w:spacing w:line="384" w:lineRule="atLeast"/>
        <w:rPr>
          <w:rFonts w:eastAsia="Times New Roman" w:cs="Arial"/>
          <w:color w:val="333333"/>
          <w:sz w:val="18"/>
          <w:szCs w:val="18"/>
          <w:lang w:eastAsia="de-DE"/>
        </w:rPr>
      </w:pPr>
      <w:r w:rsidRPr="00BA16DA">
        <w:rPr>
          <w:rFonts w:eastAsia="Times New Roman" w:cs="Arial"/>
          <w:noProof/>
          <w:color w:val="333333"/>
          <w:sz w:val="18"/>
          <w:szCs w:val="18"/>
          <w:lang w:val="de-AT" w:eastAsia="de-AT"/>
        </w:rPr>
        <w:drawing>
          <wp:inline distT="0" distB="0" distL="0" distR="0" wp14:anchorId="4E44A9E9" wp14:editId="3B372B5B">
            <wp:extent cx="1733550" cy="1752600"/>
            <wp:effectExtent l="0" t="0" r="0" b="0"/>
            <wp:docPr id="1" name="Bild 1" descr="Biss in den Ap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s in den Apf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1752600"/>
                    </a:xfrm>
                    <a:prstGeom prst="rect">
                      <a:avLst/>
                    </a:prstGeom>
                    <a:noFill/>
                    <a:ln>
                      <a:noFill/>
                    </a:ln>
                  </pic:spPr>
                </pic:pic>
              </a:graphicData>
            </a:graphic>
          </wp:inline>
        </w:drawing>
      </w:r>
    </w:p>
    <w:p w:rsidR="00BA16DA" w:rsidRPr="00BA16DA" w:rsidRDefault="00BA16DA" w:rsidP="00BA16DA">
      <w:pPr>
        <w:shd w:val="clear" w:color="auto" w:fill="FFFFFF"/>
        <w:spacing w:after="240" w:line="384" w:lineRule="atLeast"/>
        <w:rPr>
          <w:rFonts w:eastAsia="Times New Roman" w:cs="Arial"/>
          <w:color w:val="333333"/>
          <w:sz w:val="18"/>
          <w:szCs w:val="18"/>
          <w:lang w:eastAsia="de-DE"/>
        </w:rPr>
      </w:pPr>
      <w:r w:rsidRPr="00BA16DA">
        <w:rPr>
          <w:rFonts w:eastAsia="Times New Roman" w:cs="Arial"/>
          <w:color w:val="333333"/>
          <w:sz w:val="18"/>
          <w:szCs w:val="18"/>
          <w:lang w:eastAsia="de-DE"/>
        </w:rPr>
        <w:br/>
        <w:t xml:space="preserve">Das bedeutet die Vermeidung von Kariesbildung, Parodontalerkrankungen und frühzeitigem Zahnverlust. Wenn aber die Funktion des Kauapparates gestört ist, kann dies langfristig zu ernsthaften Problemen für die Gesamtgesundheit führen. In solchen Fällen ist es zielführend, schon früh durch eine professionelle kieferorthopädische Behandlung den Grundstein für eine lang anhaltende Zahngesundheit zu legen. </w:t>
      </w:r>
      <w:r w:rsidRPr="00BA16DA">
        <w:rPr>
          <w:rFonts w:eastAsia="Times New Roman" w:cs="Arial"/>
          <w:color w:val="333333"/>
          <w:sz w:val="18"/>
          <w:szCs w:val="18"/>
          <w:lang w:eastAsia="de-DE"/>
        </w:rPr>
        <w:br/>
      </w:r>
      <w:r w:rsidRPr="00BA16DA">
        <w:rPr>
          <w:rFonts w:eastAsia="Times New Roman" w:cs="Arial"/>
          <w:color w:val="333333"/>
          <w:sz w:val="18"/>
          <w:szCs w:val="18"/>
          <w:lang w:eastAsia="de-DE"/>
        </w:rPr>
        <w:br/>
      </w:r>
      <w:r w:rsidRPr="00BA16DA">
        <w:rPr>
          <w:rFonts w:eastAsia="Times New Roman" w:cs="Arial"/>
          <w:b/>
          <w:bCs/>
          <w:color w:val="333333"/>
          <w:sz w:val="18"/>
          <w:szCs w:val="18"/>
          <w:lang w:eastAsia="de-DE"/>
        </w:rPr>
        <w:t>Erhöhter Zuschuss</w:t>
      </w:r>
      <w:r w:rsidRPr="00BA16DA">
        <w:rPr>
          <w:rFonts w:eastAsia="Times New Roman" w:cs="Arial"/>
          <w:color w:val="333333"/>
          <w:sz w:val="18"/>
          <w:szCs w:val="18"/>
          <w:lang w:eastAsia="de-DE"/>
        </w:rPr>
        <w:br/>
        <w:t xml:space="preserve">Bei den Kieferregulierungen unterscheidet man zwischen abnehmbaren und festsitzenden Apparaten, wobei aufgrund medizinisch-wissenschaftlicher Erkenntnisse ein Trend in Richtung Versorgung mit festsitzenden Geräten erkennbar ist. </w:t>
      </w:r>
      <w:r w:rsidRPr="00BA16DA">
        <w:rPr>
          <w:rFonts w:eastAsia="Times New Roman" w:cs="Arial"/>
          <w:color w:val="333333"/>
          <w:sz w:val="18"/>
          <w:szCs w:val="18"/>
          <w:lang w:eastAsia="de-DE"/>
        </w:rPr>
        <w:br/>
      </w:r>
      <w:r w:rsidRPr="00BA16DA">
        <w:rPr>
          <w:rFonts w:eastAsia="Times New Roman" w:cs="Arial"/>
          <w:color w:val="333333"/>
          <w:sz w:val="18"/>
          <w:szCs w:val="18"/>
          <w:lang w:eastAsia="de-DE"/>
        </w:rPr>
        <w:br/>
        <w:t xml:space="preserve">„Daher“, so Generaldirektor Dr. Vogel, „ ergreift die BVA </w:t>
      </w:r>
      <w:r w:rsidRPr="00BA16DA">
        <w:rPr>
          <w:rFonts w:eastAsia="Times New Roman" w:cs="Arial"/>
          <w:b/>
          <w:bCs/>
          <w:color w:val="333333"/>
          <w:sz w:val="18"/>
          <w:szCs w:val="18"/>
          <w:lang w:eastAsia="de-DE"/>
        </w:rPr>
        <w:t>auch in diesem Leistungssegment</w:t>
      </w:r>
      <w:r w:rsidRPr="00BA16DA">
        <w:rPr>
          <w:rFonts w:eastAsia="Times New Roman" w:cs="Arial"/>
          <w:color w:val="333333"/>
          <w:sz w:val="18"/>
          <w:szCs w:val="18"/>
          <w:lang w:eastAsia="de-DE"/>
        </w:rPr>
        <w:t xml:space="preserve"> die Initiative und erhöht den Zuschuss für festsitzende Zahnspangen von EUR 651,15 </w:t>
      </w:r>
      <w:r w:rsidRPr="00BA16DA">
        <w:rPr>
          <w:rFonts w:eastAsia="Times New Roman" w:cs="Arial"/>
          <w:b/>
          <w:bCs/>
          <w:color w:val="333333"/>
          <w:sz w:val="18"/>
          <w:szCs w:val="18"/>
          <w:lang w:eastAsia="de-DE"/>
        </w:rPr>
        <w:t>auf EUR 750,00 pro Behandlungsjahr</w:t>
      </w:r>
      <w:r w:rsidRPr="00BA16DA">
        <w:rPr>
          <w:rFonts w:eastAsia="Times New Roman" w:cs="Arial"/>
          <w:color w:val="333333"/>
          <w:sz w:val="18"/>
          <w:szCs w:val="18"/>
          <w:lang w:eastAsia="de-DE"/>
        </w:rPr>
        <w:t xml:space="preserve">. Die BVA leistet damit einen weiteren wichtigen Beitrag in Sachen Zahngesundheit.“ </w:t>
      </w:r>
    </w:p>
    <w:p w:rsidR="00BA16DA" w:rsidRPr="00BA16DA" w:rsidRDefault="00BA16DA" w:rsidP="00BA16DA">
      <w:pPr>
        <w:shd w:val="clear" w:color="auto" w:fill="FFFFFF"/>
        <w:spacing w:after="240" w:line="384" w:lineRule="atLeast"/>
        <w:rPr>
          <w:rFonts w:eastAsia="Times New Roman" w:cs="Arial"/>
          <w:color w:val="333333"/>
          <w:sz w:val="18"/>
          <w:szCs w:val="18"/>
          <w:lang w:eastAsia="de-DE"/>
        </w:rPr>
      </w:pPr>
      <w:r w:rsidRPr="00BA16DA">
        <w:rPr>
          <w:rFonts w:eastAsia="Times New Roman" w:cs="Arial"/>
          <w:noProof/>
          <w:color w:val="333333"/>
          <w:sz w:val="18"/>
          <w:szCs w:val="18"/>
          <w:lang w:val="de-AT" w:eastAsia="de-AT"/>
        </w:rPr>
        <w:drawing>
          <wp:inline distT="0" distB="0" distL="0" distR="0" wp14:anchorId="6A51C017" wp14:editId="5D431928">
            <wp:extent cx="1733550" cy="885825"/>
            <wp:effectExtent l="0" t="0" r="0" b="9525"/>
            <wp:docPr id="2" name="Bild 2" descr="Zahnsp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hnspan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885825"/>
                    </a:xfrm>
                    <a:prstGeom prst="rect">
                      <a:avLst/>
                    </a:prstGeom>
                    <a:noFill/>
                    <a:ln>
                      <a:noFill/>
                    </a:ln>
                  </pic:spPr>
                </pic:pic>
              </a:graphicData>
            </a:graphic>
          </wp:inline>
        </w:drawing>
      </w:r>
    </w:p>
    <w:p w:rsidR="00BA16DA" w:rsidRPr="00BA16DA" w:rsidRDefault="00BA16DA" w:rsidP="00BA16DA">
      <w:pPr>
        <w:shd w:val="clear" w:color="auto" w:fill="FFFFFF"/>
        <w:spacing w:line="384" w:lineRule="atLeast"/>
        <w:rPr>
          <w:rFonts w:eastAsia="Times New Roman" w:cs="Arial"/>
          <w:color w:val="333333"/>
          <w:sz w:val="18"/>
          <w:szCs w:val="18"/>
          <w:lang w:eastAsia="de-DE"/>
        </w:rPr>
      </w:pPr>
      <w:r w:rsidRPr="00BA16DA">
        <w:rPr>
          <w:rFonts w:eastAsia="Times New Roman" w:cs="Arial"/>
          <w:color w:val="333333"/>
          <w:sz w:val="18"/>
          <w:szCs w:val="18"/>
          <w:lang w:eastAsia="de-DE"/>
        </w:rPr>
        <w:br/>
        <w:t xml:space="preserve">Diese Neuregelung wurde am 1. März 2013 in der Generalversammlung der BVA beschlossen und gilt für alle festsitzenden Zahnspangen </w:t>
      </w:r>
      <w:r w:rsidRPr="00BA16DA">
        <w:rPr>
          <w:rFonts w:eastAsia="Times New Roman" w:cs="Arial"/>
          <w:b/>
          <w:bCs/>
          <w:color w:val="333333"/>
          <w:sz w:val="18"/>
          <w:szCs w:val="18"/>
          <w:lang w:eastAsia="de-DE"/>
        </w:rPr>
        <w:t xml:space="preserve">mit Beginn des Behandlungsjahres ab </w:t>
      </w:r>
      <w:r w:rsidRPr="00BA16DA">
        <w:rPr>
          <w:rFonts w:eastAsia="Times New Roman" w:cs="Arial"/>
          <w:b/>
          <w:bCs/>
          <w:color w:val="333333"/>
          <w:sz w:val="18"/>
          <w:szCs w:val="18"/>
          <w:lang w:eastAsia="de-DE"/>
        </w:rPr>
        <w:br/>
        <w:t>1. Mai 2013</w:t>
      </w:r>
      <w:r w:rsidRPr="00BA16DA">
        <w:rPr>
          <w:rFonts w:eastAsia="Times New Roman" w:cs="Arial"/>
          <w:color w:val="333333"/>
          <w:sz w:val="18"/>
          <w:szCs w:val="18"/>
          <w:lang w:eastAsia="de-DE"/>
        </w:rPr>
        <w:t>. Darüber hinaus ist für festsitzende Zahnspangen unter bestimmten Voraussetzungen auch eine Bezuschussung aus dem Unterstützungsfonds der BVA möglich.</w:t>
      </w:r>
    </w:p>
    <w:p w:rsidR="0065759F" w:rsidRDefault="0065759F"/>
    <w:sectPr w:rsidR="006575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6DA"/>
    <w:rsid w:val="0065759F"/>
    <w:rsid w:val="00BA16DA"/>
    <w:rsid w:val="00C16954"/>
    <w:rsid w:val="00F037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6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6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6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6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019900">
      <w:bodyDiv w:val="1"/>
      <w:marLeft w:val="0"/>
      <w:marRight w:val="0"/>
      <w:marTop w:val="150"/>
      <w:marBottom w:val="150"/>
      <w:divBdr>
        <w:top w:val="none" w:sz="0" w:space="0" w:color="auto"/>
        <w:left w:val="none" w:sz="0" w:space="0" w:color="auto"/>
        <w:bottom w:val="none" w:sz="0" w:space="0" w:color="auto"/>
        <w:right w:val="none" w:sz="0" w:space="0" w:color="auto"/>
      </w:divBdr>
      <w:divsChild>
        <w:div w:id="1760132696">
          <w:marLeft w:val="0"/>
          <w:marRight w:val="0"/>
          <w:marTop w:val="0"/>
          <w:marBottom w:val="0"/>
          <w:divBdr>
            <w:top w:val="none" w:sz="0" w:space="0" w:color="auto"/>
            <w:left w:val="none" w:sz="0" w:space="0" w:color="auto"/>
            <w:bottom w:val="none" w:sz="0" w:space="0" w:color="auto"/>
            <w:right w:val="none" w:sz="0" w:space="0" w:color="auto"/>
          </w:divBdr>
          <w:divsChild>
            <w:div w:id="2109694832">
              <w:marLeft w:val="3720"/>
              <w:marRight w:val="0"/>
              <w:marTop w:val="0"/>
              <w:marBottom w:val="0"/>
              <w:divBdr>
                <w:top w:val="none" w:sz="0" w:space="0" w:color="auto"/>
                <w:left w:val="none" w:sz="0" w:space="0" w:color="auto"/>
                <w:bottom w:val="none" w:sz="0" w:space="0" w:color="auto"/>
                <w:right w:val="none" w:sz="0" w:space="0" w:color="auto"/>
              </w:divBdr>
              <w:divsChild>
                <w:div w:id="536625233">
                  <w:marLeft w:val="0"/>
                  <w:marRight w:val="0"/>
                  <w:marTop w:val="0"/>
                  <w:marBottom w:val="0"/>
                  <w:divBdr>
                    <w:top w:val="none" w:sz="0" w:space="0" w:color="auto"/>
                    <w:left w:val="none" w:sz="0" w:space="0" w:color="auto"/>
                    <w:bottom w:val="none" w:sz="0" w:space="0" w:color="auto"/>
                    <w:right w:val="none" w:sz="0" w:space="0" w:color="auto"/>
                  </w:divBdr>
                  <w:divsChild>
                    <w:div w:id="300114947">
                      <w:marLeft w:val="0"/>
                      <w:marRight w:val="0"/>
                      <w:marTop w:val="0"/>
                      <w:marBottom w:val="0"/>
                      <w:divBdr>
                        <w:top w:val="none" w:sz="0" w:space="0" w:color="auto"/>
                        <w:left w:val="none" w:sz="0" w:space="0" w:color="auto"/>
                        <w:bottom w:val="none" w:sz="0" w:space="0" w:color="auto"/>
                        <w:right w:val="none" w:sz="0" w:space="0" w:color="auto"/>
                      </w:divBdr>
                    </w:div>
                    <w:div w:id="1682195068">
                      <w:marLeft w:val="0"/>
                      <w:marRight w:val="0"/>
                      <w:marTop w:val="120"/>
                      <w:marBottom w:val="0"/>
                      <w:divBdr>
                        <w:top w:val="none" w:sz="0" w:space="0" w:color="auto"/>
                        <w:left w:val="none" w:sz="0" w:space="0" w:color="auto"/>
                        <w:bottom w:val="none" w:sz="0" w:space="0" w:color="auto"/>
                        <w:right w:val="none" w:sz="0" w:space="0" w:color="auto"/>
                      </w:divBdr>
                    </w:div>
                    <w:div w:id="695887792">
                      <w:marLeft w:val="0"/>
                      <w:marRight w:val="0"/>
                      <w:marTop w:val="0"/>
                      <w:marBottom w:val="180"/>
                      <w:divBdr>
                        <w:top w:val="none" w:sz="0" w:space="0" w:color="auto"/>
                        <w:left w:val="none" w:sz="0" w:space="0" w:color="auto"/>
                        <w:bottom w:val="none" w:sz="0" w:space="0" w:color="auto"/>
                        <w:right w:val="none" w:sz="0" w:space="0" w:color="auto"/>
                      </w:divBdr>
                    </w:div>
                    <w:div w:id="1487741892">
                      <w:marLeft w:val="0"/>
                      <w:marRight w:val="0"/>
                      <w:marTop w:val="0"/>
                      <w:marBottom w:val="180"/>
                      <w:divBdr>
                        <w:top w:val="none" w:sz="0" w:space="0" w:color="auto"/>
                        <w:left w:val="none" w:sz="0" w:space="0" w:color="auto"/>
                        <w:bottom w:val="none" w:sz="0" w:space="0" w:color="auto"/>
                        <w:right w:val="none" w:sz="0" w:space="0" w:color="auto"/>
                      </w:divBdr>
                      <w:divsChild>
                        <w:div w:id="1879705676">
                          <w:marLeft w:val="0"/>
                          <w:marRight w:val="0"/>
                          <w:marTop w:val="0"/>
                          <w:marBottom w:val="120"/>
                          <w:divBdr>
                            <w:top w:val="none" w:sz="0" w:space="0" w:color="auto"/>
                            <w:left w:val="none" w:sz="0" w:space="0" w:color="auto"/>
                            <w:bottom w:val="none" w:sz="0" w:space="0" w:color="auto"/>
                            <w:right w:val="none" w:sz="0" w:space="0" w:color="auto"/>
                          </w:divBdr>
                        </w:div>
                        <w:div w:id="1226723715">
                          <w:marLeft w:val="0"/>
                          <w:marRight w:val="0"/>
                          <w:marTop w:val="0"/>
                          <w:marBottom w:val="120"/>
                          <w:divBdr>
                            <w:top w:val="none" w:sz="0" w:space="0" w:color="auto"/>
                            <w:left w:val="none" w:sz="0" w:space="0" w:color="auto"/>
                            <w:bottom w:val="none" w:sz="0" w:space="0" w:color="auto"/>
                            <w:right w:val="none" w:sz="0" w:space="0" w:color="auto"/>
                          </w:divBdr>
                        </w:div>
                        <w:div w:id="724720165">
                          <w:marLeft w:val="0"/>
                          <w:marRight w:val="0"/>
                          <w:marTop w:val="0"/>
                          <w:marBottom w:val="120"/>
                          <w:divBdr>
                            <w:top w:val="none" w:sz="0" w:space="0" w:color="auto"/>
                            <w:left w:val="none" w:sz="0" w:space="0" w:color="auto"/>
                            <w:bottom w:val="none" w:sz="0" w:space="0" w:color="auto"/>
                            <w:right w:val="none" w:sz="0" w:space="0" w:color="auto"/>
                          </w:divBdr>
                        </w:div>
                        <w:div w:id="1413967920">
                          <w:marLeft w:val="0"/>
                          <w:marRight w:val="0"/>
                          <w:marTop w:val="0"/>
                          <w:marBottom w:val="120"/>
                          <w:divBdr>
                            <w:top w:val="none" w:sz="0" w:space="0" w:color="auto"/>
                            <w:left w:val="none" w:sz="0" w:space="0" w:color="auto"/>
                            <w:bottom w:val="none" w:sz="0" w:space="0" w:color="auto"/>
                            <w:right w:val="none" w:sz="0" w:space="0" w:color="auto"/>
                          </w:divBdr>
                        </w:div>
                        <w:div w:id="2124702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OEGB</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Gruber Hannes</dc:creator>
  <cp:lastModifiedBy>Michael Schuh</cp:lastModifiedBy>
  <cp:revision>2</cp:revision>
  <dcterms:created xsi:type="dcterms:W3CDTF">2013-03-08T12:07:00Z</dcterms:created>
  <dcterms:modified xsi:type="dcterms:W3CDTF">2013-03-08T12:07:00Z</dcterms:modified>
</cp:coreProperties>
</file>